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jc w:val="both"/>
        <w:rPr>
          <w:rFonts w:ascii="Times New Roman" w:cs="Times New Roman" w:eastAsia="Times New Roman" w:hAnsi="Times New Roman"/>
          <w:sz w:val="26"/>
          <w:szCs w:val="26"/>
          <w:u w:val="single"/>
        </w:rPr>
      </w:pPr>
      <w:r w:rsidDel="00000000" w:rsidR="00000000" w:rsidRPr="00000000">
        <w:rPr>
          <w:rFonts w:ascii="Times New Roman" w:cs="Times New Roman" w:eastAsia="Times New Roman" w:hAnsi="Times New Roman"/>
          <w:sz w:val="26"/>
          <w:szCs w:val="26"/>
          <w:u w:val="single"/>
          <w:rtl w:val="0"/>
        </w:rPr>
        <w:t xml:space="preserve">Comisión de Procedimiento Tributario de la AAEF</w:t>
      </w:r>
    </w:p>
    <w:p w:rsidR="00000000" w:rsidDel="00000000" w:rsidP="00000000" w:rsidRDefault="00000000" w:rsidRPr="00000000" w14:paraId="00000002">
      <w:pPr>
        <w:spacing w:line="240" w:lineRule="auto"/>
        <w:jc w:val="both"/>
        <w:rPr>
          <w:rFonts w:ascii="Times New Roman" w:cs="Times New Roman" w:eastAsia="Times New Roman" w:hAnsi="Times New Roman"/>
          <w:sz w:val="26"/>
          <w:szCs w:val="26"/>
          <w:u w:val="single"/>
        </w:rPr>
      </w:pPr>
      <w:r w:rsidDel="00000000" w:rsidR="00000000" w:rsidRPr="00000000">
        <w:rPr>
          <w:rtl w:val="0"/>
        </w:rPr>
      </w:r>
    </w:p>
    <w:p w:rsidR="00000000" w:rsidDel="00000000" w:rsidP="00000000" w:rsidRDefault="00000000" w:rsidRPr="00000000" w14:paraId="00000003">
      <w:pPr>
        <w:spacing w:line="240" w:lineRule="auto"/>
        <w:jc w:val="both"/>
        <w:rPr>
          <w:rFonts w:ascii="Times New Roman" w:cs="Times New Roman" w:eastAsia="Times New Roman" w:hAnsi="Times New Roman"/>
          <w:b w:val="1"/>
          <w:sz w:val="26"/>
          <w:szCs w:val="26"/>
          <w:u w:val="single"/>
        </w:rPr>
      </w:pPr>
      <w:r w:rsidDel="00000000" w:rsidR="00000000" w:rsidRPr="00000000">
        <w:rPr>
          <w:rFonts w:ascii="Times New Roman" w:cs="Times New Roman" w:eastAsia="Times New Roman" w:hAnsi="Times New Roman"/>
          <w:b w:val="1"/>
          <w:sz w:val="26"/>
          <w:szCs w:val="26"/>
          <w:u w:val="single"/>
          <w:rtl w:val="0"/>
        </w:rPr>
        <w:t xml:space="preserve">Reunión del 29 de Octubre de 2025</w:t>
      </w:r>
    </w:p>
    <w:p w:rsidR="00000000" w:rsidDel="00000000" w:rsidP="00000000" w:rsidRDefault="00000000" w:rsidRPr="00000000" w14:paraId="00000004">
      <w:pPr>
        <w:spacing w:line="240" w:lineRule="auto"/>
        <w:jc w:val="both"/>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5">
      <w:pPr>
        <w:spacing w:line="240" w:lineRule="auto"/>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Temas propuestos para la reunión de octubre</w:t>
      </w:r>
    </w:p>
    <w:p w:rsidR="00000000" w:rsidDel="00000000" w:rsidP="00000000" w:rsidRDefault="00000000" w:rsidRPr="00000000" w14:paraId="00000006">
      <w:pPr>
        <w:spacing w:line="240" w:lineRule="auto"/>
        <w:jc w:val="both"/>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7">
      <w:pPr>
        <w:spacing w:line="240" w:lineRule="auto"/>
        <w:jc w:val="both"/>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8">
      <w:pPr>
        <w:spacing w:line="331.2" w:lineRule="auto"/>
        <w:ind w:left="800" w:hanging="26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1. Normativo </w:t>
      </w:r>
    </w:p>
    <w:p w:rsidR="00000000" w:rsidDel="00000000" w:rsidP="00000000" w:rsidRDefault="00000000" w:rsidRPr="00000000" w14:paraId="00000009">
      <w:pPr>
        <w:spacing w:line="331.2" w:lineRule="auto"/>
        <w:ind w:left="800" w:hanging="260"/>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A">
      <w:pPr>
        <w:spacing w:after="180" w:line="331.2" w:lineRule="auto"/>
        <w:ind w:firstLine="566.9291338582675"/>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1.1.  Novedades respecto de intercambios de información recientes con Estados Unidos.</w:t>
      </w:r>
    </w:p>
    <w:p w:rsidR="00000000" w:rsidDel="00000000" w:rsidP="00000000" w:rsidRDefault="00000000" w:rsidRPr="00000000" w14:paraId="0000000B">
      <w:pPr>
        <w:spacing w:after="180" w:line="331.2" w:lineRule="auto"/>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ab/>
        <w:t xml:space="preserve">Comentarios a cargo de Daniel Dominguez</w:t>
      </w:r>
    </w:p>
    <w:p w:rsidR="00000000" w:rsidDel="00000000" w:rsidP="00000000" w:rsidRDefault="00000000" w:rsidRPr="00000000" w14:paraId="0000000C">
      <w:pPr>
        <w:spacing w:line="331.2" w:lineRule="auto"/>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00D">
      <w:pPr>
        <w:spacing w:line="331.2" w:lineRule="auto"/>
        <w:ind w:left="540" w:firstLine="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1.2. Impuesto País </w:t>
      </w:r>
    </w:p>
    <w:p w:rsidR="00000000" w:rsidDel="00000000" w:rsidP="00000000" w:rsidRDefault="00000000" w:rsidRPr="00000000" w14:paraId="0000000E">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Resolución General 5765/2025 (ARCA).</w:t>
      </w:r>
    </w:p>
    <w:p w:rsidR="00000000" w:rsidDel="00000000" w:rsidP="00000000" w:rsidRDefault="00000000" w:rsidRPr="00000000" w14:paraId="0000000F">
      <w:pPr>
        <w:spacing w:line="331.2" w:lineRule="auto"/>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010">
      <w:pPr>
        <w:spacing w:line="331.2" w:lineRule="auto"/>
        <w:ind w:firstLine="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Resumen: La Agencia de Recaudación y Control Aduanero estableció un procedimiento especial para la devolución de pagos a cuenta no computados del Impuesto Para una Argentina Inclusiva y Solidaria.</w:t>
      </w:r>
    </w:p>
    <w:p w:rsidR="00000000" w:rsidDel="00000000" w:rsidP="00000000" w:rsidRDefault="00000000" w:rsidRPr="00000000" w14:paraId="00000011">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012">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Link a la resolución: </w:t>
      </w:r>
    </w:p>
    <w:p w:rsidR="00000000" w:rsidDel="00000000" w:rsidP="00000000" w:rsidRDefault="00000000" w:rsidRPr="00000000" w14:paraId="00000013">
      <w:pPr>
        <w:spacing w:line="331.2" w:lineRule="auto"/>
        <w:ind w:firstLine="540"/>
        <w:jc w:val="both"/>
        <w:rPr>
          <w:rFonts w:ascii="Times New Roman" w:cs="Times New Roman" w:eastAsia="Times New Roman" w:hAnsi="Times New Roman"/>
          <w:color w:val="0000ff"/>
          <w:sz w:val="24"/>
          <w:szCs w:val="24"/>
          <w:u w:val="single"/>
        </w:rPr>
      </w:pPr>
      <w:hyperlink r:id="rId6">
        <w:r w:rsidDel="00000000" w:rsidR="00000000" w:rsidRPr="00000000">
          <w:rPr>
            <w:rFonts w:ascii="Times New Roman" w:cs="Times New Roman" w:eastAsia="Times New Roman" w:hAnsi="Times New Roman"/>
            <w:b w:val="1"/>
            <w:i w:val="1"/>
            <w:color w:val="0000ff"/>
            <w:sz w:val="24"/>
            <w:szCs w:val="24"/>
            <w:u w:val="single"/>
            <w:rtl w:val="0"/>
          </w:rPr>
          <w:t xml:space="preserve">https://www.boletinoficial.gob.ar/detalleAviso/primera/332002/20250926</w:t>
        </w:r>
      </w:hyperlink>
      <w:r w:rsidDel="00000000" w:rsidR="00000000" w:rsidRPr="00000000">
        <w:rPr>
          <w:rtl w:val="0"/>
        </w:rPr>
      </w:r>
    </w:p>
    <w:p w:rsidR="00000000" w:rsidDel="00000000" w:rsidP="00000000" w:rsidRDefault="00000000" w:rsidRPr="00000000" w14:paraId="00000014">
      <w:pPr>
        <w:spacing w:line="331.2" w:lineRule="auto"/>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5">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Comentarios a cargo de la Comisión. </w:t>
      </w:r>
    </w:p>
    <w:p w:rsidR="00000000" w:rsidDel="00000000" w:rsidP="00000000" w:rsidRDefault="00000000" w:rsidRPr="00000000" w14:paraId="00000016">
      <w:pPr>
        <w:spacing w:after="180" w:line="331.2" w:lineRule="auto"/>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017">
      <w:pPr>
        <w:spacing w:line="331.2" w:lineRule="auto"/>
        <w:ind w:left="540" w:firstLine="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1.3. Régimen de regularización de obligaciones de la Ciudad de Buenos Aires</w:t>
      </w:r>
    </w:p>
    <w:p w:rsidR="00000000" w:rsidDel="00000000" w:rsidP="00000000" w:rsidRDefault="00000000" w:rsidRPr="00000000" w14:paraId="00000018">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Ley 6843.</w:t>
      </w:r>
    </w:p>
    <w:p w:rsidR="00000000" w:rsidDel="00000000" w:rsidP="00000000" w:rsidRDefault="00000000" w:rsidRPr="00000000" w14:paraId="00000019">
      <w:pPr>
        <w:spacing w:line="331.2" w:lineRule="auto"/>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01A">
      <w:pPr>
        <w:spacing w:line="331.2" w:lineRule="auto"/>
        <w:ind w:firstLine="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Resumen:El Gobierno de la Ciudad Autónoma de Buenos Aires promulgó la Ley N° 6842, que establece un régimen de regularización excepcional para las obligaciones tributarias vencidas al 31 de agosto de 2025, incluyendo infracciones no firmes.</w:t>
      </w:r>
    </w:p>
    <w:p w:rsidR="00000000" w:rsidDel="00000000" w:rsidP="00000000" w:rsidRDefault="00000000" w:rsidRPr="00000000" w14:paraId="0000001B">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01C">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Link a la norma: </w:t>
      </w:r>
    </w:p>
    <w:p w:rsidR="00000000" w:rsidDel="00000000" w:rsidP="00000000" w:rsidRDefault="00000000" w:rsidRPr="00000000" w14:paraId="0000001D">
      <w:pPr>
        <w:spacing w:line="331.2" w:lineRule="auto"/>
        <w:ind w:firstLine="540"/>
        <w:jc w:val="both"/>
        <w:rPr>
          <w:rFonts w:ascii="Times New Roman" w:cs="Times New Roman" w:eastAsia="Times New Roman" w:hAnsi="Times New Roman"/>
          <w:b w:val="1"/>
          <w:i w:val="1"/>
          <w:sz w:val="24"/>
          <w:szCs w:val="24"/>
        </w:rPr>
      </w:pPr>
      <w:hyperlink r:id="rId7">
        <w:r w:rsidDel="00000000" w:rsidR="00000000" w:rsidRPr="00000000">
          <w:rPr>
            <w:rFonts w:ascii="Times New Roman" w:cs="Times New Roman" w:eastAsia="Times New Roman" w:hAnsi="Times New Roman"/>
            <w:b w:val="1"/>
            <w:i w:val="1"/>
            <w:color w:val="1155cc"/>
            <w:sz w:val="24"/>
            <w:szCs w:val="24"/>
            <w:u w:val="single"/>
            <w:rtl w:val="0"/>
          </w:rPr>
          <w:t xml:space="preserve">https://www.agip.gob.ar/normativa/leyes/2025/ley-n-68422025</w:t>
        </w:r>
      </w:hyperlink>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01E">
      <w:pPr>
        <w:spacing w:line="331.2" w:lineRule="auto"/>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F">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Comentarios a cargo de la Comisión. </w:t>
      </w:r>
    </w:p>
    <w:p w:rsidR="00000000" w:rsidDel="00000000" w:rsidP="00000000" w:rsidRDefault="00000000" w:rsidRPr="00000000" w14:paraId="00000020">
      <w:pPr>
        <w:spacing w:after="180" w:line="331.2" w:lineRule="auto"/>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21">
      <w:pPr>
        <w:spacing w:after="180" w:line="331.2" w:lineRule="auto"/>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22">
      <w:pPr>
        <w:spacing w:after="180" w:line="331.2" w:lineRule="auto"/>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23">
      <w:pPr>
        <w:spacing w:after="180" w:line="331.2" w:lineRule="auto"/>
        <w:ind w:left="566.9291338582675" w:firstLine="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`1.4. Novedades con respecto al plan de facilidades por actualización de quebrantos (RG 5775/2025)</w:t>
      </w:r>
    </w:p>
    <w:p w:rsidR="00000000" w:rsidDel="00000000" w:rsidP="00000000" w:rsidRDefault="00000000" w:rsidRPr="00000000" w14:paraId="00000024">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Comentarios a cargo de la Comisión. </w:t>
      </w:r>
    </w:p>
    <w:p w:rsidR="00000000" w:rsidDel="00000000" w:rsidP="00000000" w:rsidRDefault="00000000" w:rsidRPr="00000000" w14:paraId="00000025">
      <w:pPr>
        <w:spacing w:after="180" w:line="331.2" w:lineRule="auto"/>
        <w:ind w:left="566.9291338582675" w:firstLine="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Link a la norma:</w:t>
      </w:r>
    </w:p>
    <w:p w:rsidR="00000000" w:rsidDel="00000000" w:rsidP="00000000" w:rsidRDefault="00000000" w:rsidRPr="00000000" w14:paraId="00000026">
      <w:pPr>
        <w:spacing w:after="180" w:line="331.2" w:lineRule="auto"/>
        <w:ind w:firstLine="566.9291338582675"/>
        <w:jc w:val="both"/>
        <w:rPr>
          <w:rFonts w:ascii="Times New Roman" w:cs="Times New Roman" w:eastAsia="Times New Roman" w:hAnsi="Times New Roman"/>
          <w:b w:val="1"/>
          <w:i w:val="1"/>
          <w:sz w:val="24"/>
          <w:szCs w:val="24"/>
        </w:rPr>
      </w:pPr>
      <w:hyperlink r:id="rId8">
        <w:r w:rsidDel="00000000" w:rsidR="00000000" w:rsidRPr="00000000">
          <w:rPr>
            <w:rFonts w:ascii="Times New Roman" w:cs="Times New Roman" w:eastAsia="Times New Roman" w:hAnsi="Times New Roman"/>
            <w:b w:val="1"/>
            <w:i w:val="1"/>
            <w:color w:val="1155cc"/>
            <w:sz w:val="24"/>
            <w:szCs w:val="24"/>
            <w:u w:val="single"/>
            <w:rtl w:val="0"/>
          </w:rPr>
          <w:t xml:space="preserve">https://www.boletinoficial.gob.ar/detalleAviso/primera/333242/20251022</w:t>
        </w:r>
      </w:hyperlink>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027">
      <w:pPr>
        <w:spacing w:after="180" w:line="331.2" w:lineRule="auto"/>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28">
      <w:pPr>
        <w:spacing w:after="180" w:line="331.2" w:lineRule="auto"/>
        <w:ind w:left="566.9291338582675" w:firstLine="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1.5. Novedades sobre la FACTURA M </w:t>
      </w:r>
    </w:p>
    <w:p w:rsidR="00000000" w:rsidDel="00000000" w:rsidP="00000000" w:rsidRDefault="00000000" w:rsidRPr="00000000" w14:paraId="00000029">
      <w:pPr>
        <w:spacing w:after="180" w:line="331.2"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Agencia de Recaudación y Control Aduanero (ARCA) puso en marcha un nuevo esquema de facturación con el fin de simplificar los trámites, garantizar mayor control fiscal y modernizar el procedimiento de habilitación de comprobantes clase “A”. Con la Resolución General 5762/2025, publicada en el Boletín Oficial, se eliminan las facturas clase “M” y se crean nuevas modalidades de comprobantes clase “A”.</w:t>
      </w:r>
    </w:p>
    <w:p w:rsidR="00000000" w:rsidDel="00000000" w:rsidP="00000000" w:rsidRDefault="00000000" w:rsidRPr="00000000" w14:paraId="0000002A">
      <w:pPr>
        <w:spacing w:after="180" w:line="331.2"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norma establece que quienes no acrediten solvencia patrimonial suficiente, pero cumplan con el resto de los requisitos, podrán optar por emitir facturas clase “A” con la leyenda “PAGO EN CBU INFORMADA”, las cuales no estarán sujetas a retenciones. En tanto, en los casos donde antes correspondía habilitación “M”, ARCA otorgará automáticamente la habilitación clase “A” con la leyenda “OPERACIÓN SUJETA A RETENCIÓN”. Estas facturas conservarán la misma codificación y continuidad en la numeración que las “M”, salvo que se habilite un nuevo punto de venta.</w:t>
      </w:r>
    </w:p>
    <w:p w:rsidR="00000000" w:rsidDel="00000000" w:rsidP="00000000" w:rsidRDefault="00000000" w:rsidRPr="00000000" w14:paraId="0000002B">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Comentarios a cargo de la Comisión. </w:t>
      </w:r>
    </w:p>
    <w:p w:rsidR="00000000" w:rsidDel="00000000" w:rsidP="00000000" w:rsidRDefault="00000000" w:rsidRPr="00000000" w14:paraId="0000002C">
      <w:pPr>
        <w:spacing w:after="180" w:line="331.2" w:lineRule="auto"/>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2D">
      <w:pPr>
        <w:spacing w:after="180" w:line="331.2" w:lineRule="auto"/>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Link a la norma:</w:t>
      </w:r>
    </w:p>
    <w:p w:rsidR="00000000" w:rsidDel="00000000" w:rsidP="00000000" w:rsidRDefault="00000000" w:rsidRPr="00000000" w14:paraId="0000002E">
      <w:pPr>
        <w:spacing w:after="180" w:line="331.2" w:lineRule="auto"/>
        <w:jc w:val="both"/>
        <w:rPr>
          <w:rFonts w:ascii="Times New Roman" w:cs="Times New Roman" w:eastAsia="Times New Roman" w:hAnsi="Times New Roman"/>
          <w:b w:val="1"/>
          <w:i w:val="1"/>
          <w:sz w:val="24"/>
          <w:szCs w:val="24"/>
        </w:rPr>
      </w:pPr>
      <w:hyperlink r:id="rId9">
        <w:r w:rsidDel="00000000" w:rsidR="00000000" w:rsidRPr="00000000">
          <w:rPr>
            <w:rFonts w:ascii="Times New Roman" w:cs="Times New Roman" w:eastAsia="Times New Roman" w:hAnsi="Times New Roman"/>
            <w:b w:val="1"/>
            <w:i w:val="1"/>
            <w:color w:val="1155cc"/>
            <w:sz w:val="24"/>
            <w:szCs w:val="24"/>
            <w:u w:val="single"/>
            <w:rtl w:val="0"/>
          </w:rPr>
          <w:t xml:space="preserve">https://servicios.infoleg.gob.ar/infolegInternet/anexos/415000-419999/417981/norma.htm</w:t>
        </w:r>
      </w:hyperlink>
      <w:r w:rsidDel="00000000" w:rsidR="00000000" w:rsidRPr="00000000">
        <w:rPr>
          <w:rtl w:val="0"/>
        </w:rPr>
      </w:r>
    </w:p>
    <w:p w:rsidR="00000000" w:rsidDel="00000000" w:rsidP="00000000" w:rsidRDefault="00000000" w:rsidRPr="00000000" w14:paraId="0000002F">
      <w:pPr>
        <w:spacing w:after="180" w:line="331.2" w:lineRule="auto"/>
        <w:jc w:val="both"/>
        <w:rPr>
          <w:rFonts w:ascii="Times New Roman" w:cs="Times New Roman" w:eastAsia="Times New Roman" w:hAnsi="Times New Roman"/>
          <w:b w:val="1"/>
          <w:i w:val="1"/>
          <w:sz w:val="24"/>
          <w:szCs w:val="24"/>
          <w:highlight w:val="yellow"/>
        </w:rPr>
      </w:pPr>
      <w:r w:rsidDel="00000000" w:rsidR="00000000" w:rsidRPr="00000000">
        <w:rPr>
          <w:rtl w:val="0"/>
        </w:rPr>
      </w:r>
    </w:p>
    <w:p w:rsidR="00000000" w:rsidDel="00000000" w:rsidP="00000000" w:rsidRDefault="00000000" w:rsidRPr="00000000" w14:paraId="00000030">
      <w:pPr>
        <w:spacing w:line="331.2" w:lineRule="auto"/>
        <w:ind w:firstLine="32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2. Jurisprudencia </w:t>
      </w:r>
    </w:p>
    <w:p w:rsidR="00000000" w:rsidDel="00000000" w:rsidP="00000000" w:rsidRDefault="00000000" w:rsidRPr="00000000" w14:paraId="00000031">
      <w:pPr>
        <w:spacing w:after="180" w:line="331.2" w:lineRule="auto"/>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032">
      <w:pPr>
        <w:spacing w:line="235.63636363636365" w:lineRule="auto"/>
        <w:ind w:firstLine="420"/>
        <w:jc w:val="both"/>
        <w:rPr>
          <w:rFonts w:ascii="Times New Roman" w:cs="Times New Roman" w:eastAsia="Times New Roman" w:hAnsi="Times New Roman"/>
          <w:b w:val="1"/>
          <w:i w:val="1"/>
          <w:sz w:val="26"/>
          <w:szCs w:val="26"/>
        </w:rPr>
      </w:pPr>
      <w:r w:rsidDel="00000000" w:rsidR="00000000" w:rsidRPr="00000000">
        <w:rPr>
          <w:rFonts w:ascii="Times New Roman" w:cs="Times New Roman" w:eastAsia="Times New Roman" w:hAnsi="Times New Roman"/>
          <w:b w:val="1"/>
          <w:i w:val="1"/>
          <w:sz w:val="26"/>
          <w:szCs w:val="26"/>
          <w:rtl w:val="0"/>
        </w:rPr>
        <w:t xml:space="preserve">2.1. El procedimiento tributario y el proceso concursal.</w:t>
      </w:r>
    </w:p>
    <w:p w:rsidR="00000000" w:rsidDel="00000000" w:rsidP="00000000" w:rsidRDefault="00000000" w:rsidRPr="00000000" w14:paraId="00000033">
      <w:pPr>
        <w:spacing w:line="235.63636363636365" w:lineRule="auto"/>
        <w:jc w:val="both"/>
        <w:rPr>
          <w:rFonts w:ascii="Times New Roman" w:cs="Times New Roman" w:eastAsia="Times New Roman" w:hAnsi="Times New Roman"/>
          <w:b w:val="1"/>
          <w:i w:val="1"/>
          <w:sz w:val="24"/>
          <w:szCs w:val="24"/>
          <w:highlight w:val="yellow"/>
        </w:rPr>
      </w:pPr>
      <w:r w:rsidDel="00000000" w:rsidR="00000000" w:rsidRPr="00000000">
        <w:rPr>
          <w:rFonts w:ascii="Times New Roman" w:cs="Times New Roman" w:eastAsia="Times New Roman" w:hAnsi="Times New Roman"/>
          <w:b w:val="1"/>
          <w:i w:val="1"/>
          <w:sz w:val="24"/>
          <w:szCs w:val="24"/>
          <w:highlight w:val="yellow"/>
          <w:rtl w:val="0"/>
        </w:rPr>
        <w:t xml:space="preserve"> </w:t>
      </w:r>
    </w:p>
    <w:p w:rsidR="00000000" w:rsidDel="00000000" w:rsidP="00000000" w:rsidRDefault="00000000" w:rsidRPr="00000000" w14:paraId="00000034">
      <w:pPr>
        <w:spacing w:after="240" w:before="240" w:line="360" w:lineRule="auto"/>
        <w:ind w:left="0"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En este encuentro analizaremos la interacción entre el procedimiento tributario y el proceso concursal, particularmente la situación que se presenta cuando, en el marco de un concurso preventivo, se desconoce un crédito fiscal previamente reconocido por las reglas propias del procedimiento tributario.</w:t>
      </w:r>
    </w:p>
    <w:p w:rsidR="00000000" w:rsidDel="00000000" w:rsidP="00000000" w:rsidRDefault="00000000" w:rsidRPr="00000000" w14:paraId="00000035">
      <w:pPr>
        <w:spacing w:after="240" w:before="240" w:line="360" w:lineRule="auto"/>
        <w:ind w:left="0" w:firstLine="0"/>
        <w:jc w:val="both"/>
        <w:rPr>
          <w:rFonts w:ascii="Times New Roman" w:cs="Times New Roman" w:eastAsia="Times New Roman" w:hAnsi="Times New Roman"/>
          <w:b w:val="1"/>
          <w:i w:val="1"/>
          <w:color w:val="1155cc"/>
          <w:sz w:val="24"/>
          <w:szCs w:val="24"/>
          <w:highlight w:val="white"/>
          <w:u w:val="single"/>
        </w:rPr>
      </w:pPr>
      <w:r w:rsidDel="00000000" w:rsidR="00000000" w:rsidRPr="00000000">
        <w:rPr>
          <w:rFonts w:ascii="Times New Roman" w:cs="Times New Roman" w:eastAsia="Times New Roman" w:hAnsi="Times New Roman"/>
          <w:sz w:val="24"/>
          <w:szCs w:val="24"/>
          <w:highlight w:val="white"/>
          <w:rtl w:val="0"/>
        </w:rPr>
        <w:t xml:space="preserve">La discusión cobra actualidad a partir de recientes precedentes de la Corte Suprema de Justicia de la Nación, que han sentado criterios relevantes sobre la materia. Entre ellos: “Arysa SRL c/ concurso preventivo por conversión” (15/05/2025), “Caram, Cecilia Mónica del Valle s/ incidente de revisión promovido por AFIP-DGI” (01/07/2015), “Diego Deportes SA s/ incidente de revisión de crédito” (26/08/2025), “General Tomás Guido SACIF s/ incidente de revisión de crédito” (26/08/2025) y “Tucumán Vidrios SRL s/ quiebra declarada s/ incidente de revisión” (23/09/2025).</w:t>
      </w:r>
      <w:r w:rsidDel="00000000" w:rsidR="00000000" w:rsidRPr="00000000">
        <w:rPr>
          <w:rFonts w:ascii="Times New Roman" w:cs="Times New Roman" w:eastAsia="Times New Roman" w:hAnsi="Times New Roman"/>
          <w:b w:val="1"/>
          <w:i w:val="1"/>
          <w:color w:val="1155cc"/>
          <w:sz w:val="24"/>
          <w:szCs w:val="24"/>
          <w:highlight w:val="white"/>
          <w:u w:val="single"/>
          <w:rtl w:val="0"/>
        </w:rPr>
        <w:br w:type="textWrapping"/>
      </w:r>
    </w:p>
    <w:p w:rsidR="00000000" w:rsidDel="00000000" w:rsidP="00000000" w:rsidRDefault="00000000" w:rsidRPr="00000000" w14:paraId="00000036">
      <w:pPr>
        <w:spacing w:line="360" w:lineRule="auto"/>
        <w:ind w:firstLine="72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Comentarios a cargo del Dr. Pablo Della Pica</w:t>
      </w:r>
    </w:p>
    <w:p w:rsidR="00000000" w:rsidDel="00000000" w:rsidP="00000000" w:rsidRDefault="00000000" w:rsidRPr="00000000" w14:paraId="00000037">
      <w:pPr>
        <w:spacing w:line="235.63636363636365" w:lineRule="auto"/>
        <w:jc w:val="both"/>
        <w:rPr>
          <w:rFonts w:ascii="Times New Roman" w:cs="Times New Roman" w:eastAsia="Times New Roman" w:hAnsi="Times New Roman"/>
          <w:b w:val="1"/>
          <w:i w:val="1"/>
          <w:sz w:val="24"/>
          <w:szCs w:val="24"/>
          <w:highlight w:val="yellow"/>
        </w:rPr>
      </w:pPr>
      <w:r w:rsidDel="00000000" w:rsidR="00000000" w:rsidRPr="00000000">
        <w:rPr>
          <w:rtl w:val="0"/>
        </w:rPr>
      </w:r>
    </w:p>
    <w:p w:rsidR="00000000" w:rsidDel="00000000" w:rsidP="00000000" w:rsidRDefault="00000000" w:rsidRPr="00000000" w14:paraId="00000038">
      <w:pPr>
        <w:spacing w:line="331.2" w:lineRule="auto"/>
        <w:jc w:val="both"/>
        <w:rPr>
          <w:rFonts w:ascii="Times New Roman" w:cs="Times New Roman" w:eastAsia="Times New Roman" w:hAnsi="Times New Roman"/>
          <w:b w:val="1"/>
          <w:i w:val="1"/>
          <w:sz w:val="24"/>
          <w:szCs w:val="24"/>
          <w:highlight w:val="yellow"/>
        </w:rPr>
      </w:pPr>
      <w:r w:rsidDel="00000000" w:rsidR="00000000" w:rsidRPr="00000000">
        <w:rPr>
          <w:rFonts w:ascii="Times New Roman" w:cs="Times New Roman" w:eastAsia="Times New Roman" w:hAnsi="Times New Roman"/>
          <w:b w:val="1"/>
          <w:i w:val="1"/>
          <w:sz w:val="24"/>
          <w:szCs w:val="24"/>
          <w:highlight w:val="yellow"/>
          <w:rtl w:val="0"/>
        </w:rPr>
        <w:t xml:space="preserve">  </w:t>
      </w:r>
    </w:p>
    <w:p w:rsidR="00000000" w:rsidDel="00000000" w:rsidP="00000000" w:rsidRDefault="00000000" w:rsidRPr="00000000" w14:paraId="00000039">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2.2. Acción de amparo y ajuste por inflación.</w:t>
      </w:r>
    </w:p>
    <w:p w:rsidR="00000000" w:rsidDel="00000000" w:rsidP="00000000" w:rsidRDefault="00000000" w:rsidRPr="00000000" w14:paraId="0000003A">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CSJN – 02/09/2025 -  “Sidersa S.A. c/ AFIP – DGI s/ amparo ley 16.986”</w:t>
      </w:r>
    </w:p>
    <w:p w:rsidR="00000000" w:rsidDel="00000000" w:rsidP="00000000" w:rsidRDefault="00000000" w:rsidRPr="00000000" w14:paraId="0000003B">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03C">
      <w:pPr>
        <w:spacing w:line="331.2"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Resumen: La CSJN al desestimar el recurso extraordinario interpuesto por la actora confirmó la sentencia de la Cámara Federal de Mendoza que revocó la resolución del Juzgado Federal de San Luis que había hecho lugar a la acción de amparo que permitió ajustar por inflación el diferimiento de 1/6 del ajuste por inflación del impuesto a las ganancias correspondiente al período fiscal finalizado en fecha 31/8/2022, permitiendo que la actora pueda ajustar por inflación el diferimiento de 1/6 autorizado por la Ley 27.541 cuya aplicación del ajuste por inflación corresponde a los períodos fiscales 2020.</w:t>
      </w:r>
    </w:p>
    <w:p w:rsidR="00000000" w:rsidDel="00000000" w:rsidP="00000000" w:rsidRDefault="00000000" w:rsidRPr="00000000" w14:paraId="0000003D">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03E">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Link a los fallos:</w:t>
      </w:r>
    </w:p>
    <w:p w:rsidR="00000000" w:rsidDel="00000000" w:rsidP="00000000" w:rsidRDefault="00000000" w:rsidRPr="00000000" w14:paraId="0000003F">
      <w:pPr>
        <w:spacing w:line="331.2" w:lineRule="auto"/>
        <w:ind w:firstLine="540"/>
        <w:jc w:val="both"/>
        <w:rPr>
          <w:rFonts w:ascii="Times New Roman" w:cs="Times New Roman" w:eastAsia="Times New Roman" w:hAnsi="Times New Roman"/>
          <w:b w:val="1"/>
          <w:i w:val="1"/>
          <w:sz w:val="24"/>
          <w:szCs w:val="24"/>
        </w:rPr>
      </w:pPr>
      <w:hyperlink r:id="rId10">
        <w:r w:rsidDel="00000000" w:rsidR="00000000" w:rsidRPr="00000000">
          <w:rPr>
            <w:rFonts w:ascii="Times New Roman" w:cs="Times New Roman" w:eastAsia="Times New Roman" w:hAnsi="Times New Roman"/>
            <w:b w:val="1"/>
            <w:i w:val="1"/>
            <w:color w:val="0000ff"/>
            <w:sz w:val="24"/>
            <w:szCs w:val="24"/>
            <w:u w:val="single"/>
            <w:rtl w:val="0"/>
          </w:rPr>
          <w:t xml:space="preserve">https://scw.pjn.gov.ar/scw/viewer.seam?id=kXYYCw%2FPBsk1j1uNfLVAv1puBFoeHe5hX%2BFunicYvOM%3D&amp;tipoDoc=sentencia</w:t>
        </w:r>
      </w:hyperlink>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040">
      <w:pPr>
        <w:spacing w:line="331.2" w:lineRule="auto"/>
        <w:ind w:firstLine="540"/>
        <w:jc w:val="both"/>
        <w:rPr>
          <w:rFonts w:ascii="Times New Roman" w:cs="Times New Roman" w:eastAsia="Times New Roman" w:hAnsi="Times New Roman"/>
          <w:b w:val="1"/>
          <w:i w:val="1"/>
          <w:color w:val="0000ff"/>
          <w:sz w:val="24"/>
          <w:szCs w:val="24"/>
          <w:u w:val="single"/>
        </w:rPr>
      </w:pPr>
      <w:hyperlink r:id="rId11">
        <w:r w:rsidDel="00000000" w:rsidR="00000000" w:rsidRPr="00000000">
          <w:rPr>
            <w:rFonts w:ascii="Times New Roman" w:cs="Times New Roman" w:eastAsia="Times New Roman" w:hAnsi="Times New Roman"/>
            <w:b w:val="1"/>
            <w:i w:val="1"/>
            <w:color w:val="0000ff"/>
            <w:sz w:val="24"/>
            <w:szCs w:val="24"/>
            <w:u w:val="single"/>
            <w:rtl w:val="0"/>
          </w:rPr>
          <w:t xml:space="preserve">https://scw.pjn.gov.ar/scw/viewer.seam?id=pz1VZG0rEO2mk%2FrX3G73IEGGMPnQ88tD9sIPtgAnhew%3D&amp;tipoDoc=despacho</w:t>
        </w:r>
      </w:hyperlink>
      <w:r w:rsidDel="00000000" w:rsidR="00000000" w:rsidRPr="00000000">
        <w:rPr>
          <w:rtl w:val="0"/>
        </w:rPr>
      </w:r>
    </w:p>
    <w:p w:rsidR="00000000" w:rsidDel="00000000" w:rsidP="00000000" w:rsidRDefault="00000000" w:rsidRPr="00000000" w14:paraId="00000041">
      <w:pPr>
        <w:spacing w:line="331.2" w:lineRule="auto"/>
        <w:ind w:firstLine="540"/>
        <w:jc w:val="both"/>
        <w:rPr>
          <w:rFonts w:ascii="Times New Roman" w:cs="Times New Roman" w:eastAsia="Times New Roman" w:hAnsi="Times New Roman"/>
          <w:b w:val="1"/>
          <w:i w:val="1"/>
          <w:sz w:val="24"/>
          <w:szCs w:val="24"/>
          <w:highlight w:val="yellow"/>
        </w:rPr>
      </w:pPr>
      <w:r w:rsidDel="00000000" w:rsidR="00000000" w:rsidRPr="00000000">
        <w:rPr>
          <w:rFonts w:ascii="Times New Roman" w:cs="Times New Roman" w:eastAsia="Times New Roman" w:hAnsi="Times New Roman"/>
          <w:b w:val="1"/>
          <w:i w:val="1"/>
          <w:sz w:val="24"/>
          <w:szCs w:val="24"/>
          <w:highlight w:val="yellow"/>
          <w:rtl w:val="0"/>
        </w:rPr>
        <w:t xml:space="preserve"> </w:t>
      </w:r>
    </w:p>
    <w:p w:rsidR="00000000" w:rsidDel="00000000" w:rsidP="00000000" w:rsidRDefault="00000000" w:rsidRPr="00000000" w14:paraId="00000042">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Comentarios a cargo del Dr. Juan José Godoy.</w:t>
      </w:r>
    </w:p>
    <w:p w:rsidR="00000000" w:rsidDel="00000000" w:rsidP="00000000" w:rsidRDefault="00000000" w:rsidRPr="00000000" w14:paraId="00000043">
      <w:pPr>
        <w:spacing w:line="331.2" w:lineRule="auto"/>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044">
      <w:pPr>
        <w:spacing w:line="331.2" w:lineRule="auto"/>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45">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2.3. Competencia originaria de la CSJN. Acción declarativa de certeza. Regímenes provinciales de recaudación.</w:t>
      </w:r>
    </w:p>
    <w:p w:rsidR="00000000" w:rsidDel="00000000" w:rsidP="00000000" w:rsidRDefault="00000000" w:rsidRPr="00000000" w14:paraId="00000046">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PGN – 10/09/2025 – “Incidente N° 2 - Actor: Establecimiento Las Marias S.A.C.I.F.A. Demandado: Agencia Tributaria Misiones A.T.M. s/ Inc De Medida Cautelar.”</w:t>
      </w:r>
    </w:p>
    <w:p w:rsidR="00000000" w:rsidDel="00000000" w:rsidP="00000000" w:rsidRDefault="00000000" w:rsidRPr="00000000" w14:paraId="00000047">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048">
      <w:pPr>
        <w:spacing w:line="331.2" w:lineRule="auto"/>
        <w:ind w:firstLine="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Resumen: La Procuración General de la Nación en su dictamen opinó que la acción declarativa de certeza interpuesta contra la Agencia Tributaria de Misiones (ATM) a fin de que se declaren la inconstitucionalidad de una serie de resoluciones generales de dicha agencia – que generan excesivos saldos a favor en IIBB a través de los diferentes regímenes de recaudación- forma parte de la competencia originaria de la CSJN..</w:t>
      </w:r>
    </w:p>
    <w:p w:rsidR="00000000" w:rsidDel="00000000" w:rsidP="00000000" w:rsidRDefault="00000000" w:rsidRPr="00000000" w14:paraId="00000049">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04A">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Comentarios a cargo del Dr. Juan José Godoy.</w:t>
      </w:r>
    </w:p>
    <w:p w:rsidR="00000000" w:rsidDel="00000000" w:rsidP="00000000" w:rsidRDefault="00000000" w:rsidRPr="00000000" w14:paraId="0000004B">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04C">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Link al dictamen: </w:t>
      </w:r>
    </w:p>
    <w:p w:rsidR="00000000" w:rsidDel="00000000" w:rsidP="00000000" w:rsidRDefault="00000000" w:rsidRPr="00000000" w14:paraId="0000004D">
      <w:pPr>
        <w:spacing w:line="331.2" w:lineRule="auto"/>
        <w:ind w:firstLine="540"/>
        <w:jc w:val="both"/>
        <w:rPr>
          <w:rFonts w:ascii="Times New Roman" w:cs="Times New Roman" w:eastAsia="Times New Roman" w:hAnsi="Times New Roman"/>
          <w:b w:val="1"/>
          <w:i w:val="1"/>
          <w:color w:val="0000ff"/>
          <w:sz w:val="24"/>
          <w:szCs w:val="24"/>
          <w:u w:val="single"/>
        </w:rPr>
      </w:pPr>
      <w:hyperlink r:id="rId12">
        <w:r w:rsidDel="00000000" w:rsidR="00000000" w:rsidRPr="00000000">
          <w:rPr>
            <w:rFonts w:ascii="Times New Roman" w:cs="Times New Roman" w:eastAsia="Times New Roman" w:hAnsi="Times New Roman"/>
            <w:b w:val="1"/>
            <w:i w:val="1"/>
            <w:color w:val="0000ff"/>
            <w:sz w:val="24"/>
            <w:szCs w:val="24"/>
            <w:u w:val="single"/>
            <w:rtl w:val="0"/>
          </w:rPr>
          <w:t xml:space="preserve">https://scw.pjn.gov.ar/scw/viewer.seam?id=r%2Br51FkZRjgBwp0iyddyZTOXYnkvVFRIMyYZkK0jCIk%3D&amp;tipoDoc=despacho</w:t>
        </w:r>
      </w:hyperlink>
      <w:r w:rsidDel="00000000" w:rsidR="00000000" w:rsidRPr="00000000">
        <w:rPr>
          <w:rtl w:val="0"/>
        </w:rPr>
      </w:r>
    </w:p>
    <w:p w:rsidR="00000000" w:rsidDel="00000000" w:rsidP="00000000" w:rsidRDefault="00000000" w:rsidRPr="00000000" w14:paraId="0000004E">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04F">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050">
      <w:pPr>
        <w:spacing w:line="331.2" w:lineRule="auto"/>
        <w:ind w:firstLine="540"/>
        <w:jc w:val="both"/>
        <w:rPr>
          <w:rFonts w:ascii="Times New Roman" w:cs="Times New Roman" w:eastAsia="Times New Roman" w:hAnsi="Times New Roman"/>
          <w:b w:val="1"/>
          <w:i w:val="1"/>
          <w:sz w:val="24"/>
          <w:szCs w:val="24"/>
          <w:highlight w:val="yellow"/>
        </w:rPr>
      </w:pPr>
      <w:r w:rsidDel="00000000" w:rsidR="00000000" w:rsidRPr="00000000">
        <w:rPr>
          <w:rFonts w:ascii="Times New Roman" w:cs="Times New Roman" w:eastAsia="Times New Roman" w:hAnsi="Times New Roman"/>
          <w:b w:val="1"/>
          <w:i w:val="1"/>
          <w:sz w:val="24"/>
          <w:szCs w:val="24"/>
          <w:rtl w:val="0"/>
        </w:rPr>
        <w:t xml:space="preserve">2.4. Habeas Data en materia tributaria, reflexiones sobre su posible procedencia, precedentes jurisprudenciales.</w:t>
      </w:r>
      <w:r w:rsidDel="00000000" w:rsidR="00000000" w:rsidRPr="00000000">
        <w:rPr>
          <w:rtl w:val="0"/>
        </w:rPr>
      </w:r>
    </w:p>
    <w:p w:rsidR="00000000" w:rsidDel="00000000" w:rsidP="00000000" w:rsidRDefault="00000000" w:rsidRPr="00000000" w14:paraId="00000051">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highlight w:val="yellow"/>
          <w:rtl w:val="0"/>
        </w:rPr>
        <w:t xml:space="preserve"> </w:t>
      </w:r>
      <w:r w:rsidDel="00000000" w:rsidR="00000000" w:rsidRPr="00000000">
        <w:rPr>
          <w:rtl w:val="0"/>
        </w:rPr>
      </w:r>
    </w:p>
    <w:p w:rsidR="00000000" w:rsidDel="00000000" w:rsidP="00000000" w:rsidRDefault="00000000" w:rsidRPr="00000000" w14:paraId="00000052">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Comentarios a cargo de la Dra. Julieta Luchessi.</w:t>
      </w:r>
    </w:p>
    <w:p w:rsidR="00000000" w:rsidDel="00000000" w:rsidP="00000000" w:rsidRDefault="00000000" w:rsidRPr="00000000" w14:paraId="00000053">
      <w:pPr>
        <w:spacing w:line="331.2" w:lineRule="auto"/>
        <w:ind w:left="0" w:firstLine="0"/>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54">
      <w:pPr>
        <w:spacing w:line="331.2" w:lineRule="auto"/>
        <w:ind w:left="0" w:firstLine="0"/>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55">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2.5. Las facultades de fiscalización del Organismo Recaudador y las garantías constitucionales del contribuyente. Nulidad de la resolución determinativa.</w:t>
      </w:r>
    </w:p>
    <w:p w:rsidR="00000000" w:rsidDel="00000000" w:rsidP="00000000" w:rsidRDefault="00000000" w:rsidRPr="00000000" w14:paraId="00000056">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57">
      <w:pPr>
        <w:ind w:firstLine="566.9291338582675"/>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TFN. Sala “A”. “PIZZERÍA CHAPAL S.A.s/ apelación” y “NUÑEZ, ARIEL RODRIGO s/ apelación”</w:t>
      </w:r>
    </w:p>
    <w:p w:rsidR="00000000" w:rsidDel="00000000" w:rsidP="00000000" w:rsidRDefault="00000000" w:rsidRPr="00000000" w14:paraId="00000058">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59">
      <w:pPr>
        <w:spacing w:line="331.2" w:lineRule="auto"/>
        <w:ind w:firstLine="540"/>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5A">
      <w:pPr>
        <w:spacing w:line="331.2" w:lineRule="auto"/>
        <w:ind w:firstLine="54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El TFN invalidó los ajustes y la atribución de responsabilidad solidaria, sobre la base de la teoría del fruto del árbol venenoso, en tanto la información que sustentó la determinación surgió de la colectada en un procedimiento sin orden de allanamiento y sin la participación del representante legal. Se analizan las facultades del Fisco Nacional previstas en los arts. 34 a 36 de la Ley de Procedimiento Tributario y las garantías constitucionales del debido proceso legal y tutela judicial efectiva, como así también el derecho de defensa -en el marco de lo dispuesto por el  art. 1 inc. f) de la Ley 19.549-. Al declararse la nulidad de los ajustes practicados al contribuyente, en consecuencia se revocan las resoluciones de atribución de responsabilidad solidaria.</w:t>
      </w:r>
    </w:p>
    <w:p w:rsidR="00000000" w:rsidDel="00000000" w:rsidP="00000000" w:rsidRDefault="00000000" w:rsidRPr="00000000" w14:paraId="0000005B">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5C">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Comentarios a cargo de la Comisión.</w:t>
      </w:r>
      <w:r w:rsidDel="00000000" w:rsidR="00000000" w:rsidRPr="00000000">
        <w:rPr>
          <w:rtl w:val="0"/>
        </w:rPr>
      </w:r>
    </w:p>
    <w:p w:rsidR="00000000" w:rsidDel="00000000" w:rsidP="00000000" w:rsidRDefault="00000000" w:rsidRPr="00000000" w14:paraId="0000005D">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5E">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2.6. Nulidad del proceso. Facultad de ARCA de intervenir como tercero. Cancelación de CUIT.</w:t>
      </w:r>
    </w:p>
    <w:p w:rsidR="00000000" w:rsidDel="00000000" w:rsidP="00000000" w:rsidRDefault="00000000" w:rsidRPr="00000000" w14:paraId="0000005F">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CSJN – 30/09/2025 – “Administración Federal de Ingresos Públicos s/ recurso de queja.”</w:t>
      </w:r>
    </w:p>
    <w:p w:rsidR="00000000" w:rsidDel="00000000" w:rsidP="00000000" w:rsidRDefault="00000000" w:rsidRPr="00000000" w14:paraId="00000060">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061">
      <w:pPr>
        <w:spacing w:line="331.2" w:lineRule="auto"/>
        <w:ind w:firstLine="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Resumen: La CSJN determinó que a raíz del rechazo a la solicitud de la ARCA de poder intervenir voluntariamente como tercero, corresponde declarar la nulidad de todo lo actuado, pues la sentencia que hizo lugar a la medida autosatisfactiva iniciada trajo como consecuencia que se ordenara al organismo fiscal a proceder al levantamiento del bloqueo o cancelación de las CUIT pertenecientes a ciertas cooperativas, bajo apercibimiento de aplicarle sanciones pecuniarias en caso de incumplimiento, con lo cual se colocó al mencionado organismo en un estado de indefensión que afectó las facultades que le fueron legalmente otorgadas y su derecho constitucional de defensa en juicio, produciéndole un perjuicio y gravamen irreparable.</w:t>
      </w:r>
    </w:p>
    <w:p w:rsidR="00000000" w:rsidDel="00000000" w:rsidP="00000000" w:rsidRDefault="00000000" w:rsidRPr="00000000" w14:paraId="00000062">
      <w:pPr>
        <w:spacing w:line="331.2" w:lineRule="auto"/>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063">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Comentarios a cargo de la Comisión.</w:t>
      </w:r>
    </w:p>
    <w:p w:rsidR="00000000" w:rsidDel="00000000" w:rsidP="00000000" w:rsidRDefault="00000000" w:rsidRPr="00000000" w14:paraId="00000064">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065">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Link al fallo: </w:t>
      </w:r>
    </w:p>
    <w:p w:rsidR="00000000" w:rsidDel="00000000" w:rsidP="00000000" w:rsidRDefault="00000000" w:rsidRPr="00000000" w14:paraId="00000066">
      <w:pPr>
        <w:spacing w:line="331.2" w:lineRule="auto"/>
        <w:ind w:firstLine="540"/>
        <w:jc w:val="both"/>
        <w:rPr>
          <w:rFonts w:ascii="Times New Roman" w:cs="Times New Roman" w:eastAsia="Times New Roman" w:hAnsi="Times New Roman"/>
          <w:b w:val="1"/>
          <w:i w:val="1"/>
          <w:color w:val="0000ff"/>
          <w:sz w:val="24"/>
          <w:szCs w:val="24"/>
          <w:u w:val="single"/>
        </w:rPr>
      </w:pPr>
      <w:hyperlink r:id="rId13">
        <w:r w:rsidDel="00000000" w:rsidR="00000000" w:rsidRPr="00000000">
          <w:rPr>
            <w:rFonts w:ascii="Times New Roman" w:cs="Times New Roman" w:eastAsia="Times New Roman" w:hAnsi="Times New Roman"/>
            <w:b w:val="1"/>
            <w:i w:val="1"/>
            <w:color w:val="0000ff"/>
            <w:sz w:val="24"/>
            <w:szCs w:val="24"/>
            <w:u w:val="single"/>
            <w:rtl w:val="0"/>
          </w:rPr>
          <w:t xml:space="preserve">https://sjconsulta.csjn.gov.ar/sjconsulta/documentos/verDocumentoByIdLinksJSP.html?idDocumento=8162951&amp;cache=1759320265309</w:t>
        </w:r>
      </w:hyperlink>
      <w:r w:rsidDel="00000000" w:rsidR="00000000" w:rsidRPr="00000000">
        <w:rPr>
          <w:rtl w:val="0"/>
        </w:rPr>
      </w:r>
    </w:p>
    <w:p w:rsidR="00000000" w:rsidDel="00000000" w:rsidP="00000000" w:rsidRDefault="00000000" w:rsidRPr="00000000" w14:paraId="00000067">
      <w:pPr>
        <w:spacing w:line="331.2" w:lineRule="auto"/>
        <w:ind w:left="0" w:firstLine="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068">
      <w:pPr>
        <w:spacing w:line="331.2" w:lineRule="auto"/>
        <w:ind w:left="0" w:firstLine="0"/>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69">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2.7. Improcedencia de la atribución de la responsabilidad solidaria de los directores respecto de los pasivos societarios. Acreditación de la falta de  injerencia de los directores.</w:t>
      </w:r>
    </w:p>
    <w:p w:rsidR="00000000" w:rsidDel="00000000" w:rsidP="00000000" w:rsidRDefault="00000000" w:rsidRPr="00000000" w14:paraId="0000006A">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CSJN – 10/07/2025 – “Oviedo, Javier Darío c/ Telecom Argentina S.A. y otros s/ despido.”</w:t>
      </w:r>
    </w:p>
    <w:p w:rsidR="00000000" w:rsidDel="00000000" w:rsidP="00000000" w:rsidRDefault="00000000" w:rsidRPr="00000000" w14:paraId="0000006B">
      <w:pPr>
        <w:spacing w:line="331.2" w:lineRule="auto"/>
        <w:ind w:firstLine="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Resumen: La CSJN determinó que la sentencia que responsabilizó en forma personal y solidaria a los miembros del directorio de una sociedad anónima por el pago de los créditos laborales es arbitraria, pues para atribuirles la responsabilidad que contempla la ley de sociedades, la cámara partió de la premisa de que aquellos tuvieron una participación directa en la gestión de los negocios empresariales que dieron lugar a la contratación del demandante a través de otras empresas acudiendo a una intermediación fraudulenta, pero no explicó en modo alguno en qué circunstancias comprobadas de la causa basaba sus conclusiones. Su proyección a la materia tributaria y la responsabilidad solidaria.</w:t>
      </w:r>
    </w:p>
    <w:p w:rsidR="00000000" w:rsidDel="00000000" w:rsidP="00000000" w:rsidRDefault="00000000" w:rsidRPr="00000000" w14:paraId="0000006C">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06D">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Comentarios a cargo de la Comisión.</w:t>
      </w:r>
    </w:p>
    <w:p w:rsidR="00000000" w:rsidDel="00000000" w:rsidP="00000000" w:rsidRDefault="00000000" w:rsidRPr="00000000" w14:paraId="0000006E">
      <w:pPr>
        <w:spacing w:line="331.2" w:lineRule="auto"/>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06F">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Link al fallo: </w:t>
      </w:r>
    </w:p>
    <w:p w:rsidR="00000000" w:rsidDel="00000000" w:rsidP="00000000" w:rsidRDefault="00000000" w:rsidRPr="00000000" w14:paraId="00000070">
      <w:pPr>
        <w:spacing w:line="331.2" w:lineRule="auto"/>
        <w:ind w:firstLine="540"/>
        <w:jc w:val="both"/>
        <w:rPr>
          <w:rFonts w:ascii="Times New Roman" w:cs="Times New Roman" w:eastAsia="Times New Roman" w:hAnsi="Times New Roman"/>
          <w:b w:val="1"/>
          <w:i w:val="1"/>
          <w:color w:val="0000ff"/>
          <w:sz w:val="24"/>
          <w:szCs w:val="24"/>
          <w:u w:val="single"/>
        </w:rPr>
      </w:pPr>
      <w:hyperlink r:id="rId14">
        <w:r w:rsidDel="00000000" w:rsidR="00000000" w:rsidRPr="00000000">
          <w:rPr>
            <w:rFonts w:ascii="Times New Roman" w:cs="Times New Roman" w:eastAsia="Times New Roman" w:hAnsi="Times New Roman"/>
            <w:b w:val="1"/>
            <w:i w:val="1"/>
            <w:color w:val="0000ff"/>
            <w:sz w:val="24"/>
            <w:szCs w:val="24"/>
            <w:u w:val="single"/>
            <w:rtl w:val="0"/>
          </w:rPr>
          <w:t xml:space="preserve">https://sjconsulta.csjn.gov.ar/sjconsulta/documentos/verDocumentoByIdLinksJSP.html?idDocumento=8080471</w:t>
        </w:r>
      </w:hyperlink>
      <w:r w:rsidDel="00000000" w:rsidR="00000000" w:rsidRPr="00000000">
        <w:rPr>
          <w:rtl w:val="0"/>
        </w:rPr>
      </w:r>
    </w:p>
    <w:p w:rsidR="00000000" w:rsidDel="00000000" w:rsidP="00000000" w:rsidRDefault="00000000" w:rsidRPr="00000000" w14:paraId="00000071">
      <w:pPr>
        <w:spacing w:line="331.2" w:lineRule="auto"/>
        <w:ind w:firstLine="54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072">
      <w:pPr>
        <w:spacing w:line="331.2" w:lineRule="auto"/>
        <w:ind w:firstLine="540"/>
        <w:jc w:val="both"/>
        <w:rPr>
          <w:rFonts w:ascii="Times New Roman" w:cs="Times New Roman" w:eastAsia="Times New Roman" w:hAnsi="Times New Roman"/>
          <w:b w:val="1"/>
          <w:i w:val="1"/>
          <w:sz w:val="26"/>
          <w:szCs w:val="26"/>
        </w:rPr>
      </w:pPr>
      <w:r w:rsidDel="00000000" w:rsidR="00000000" w:rsidRPr="00000000">
        <w:rPr>
          <w:rFonts w:ascii="Times New Roman" w:cs="Times New Roman" w:eastAsia="Times New Roman" w:hAnsi="Times New Roman"/>
          <w:b w:val="1"/>
          <w:i w:val="1"/>
          <w:sz w:val="24"/>
          <w:szCs w:val="24"/>
          <w:rtl w:val="0"/>
        </w:rPr>
        <w:t xml:space="preserve"> </w:t>
      </w:r>
      <w:r w:rsidDel="00000000" w:rsidR="00000000" w:rsidRPr="00000000">
        <w:rPr>
          <w:rtl w:val="0"/>
        </w:rPr>
      </w:r>
    </w:p>
    <w:sectPr>
      <w:pgSz w:h="16834" w:w="11909" w:orient="portrait"/>
      <w:pgMar w:bottom="1440" w:top="1440" w:left="1984.251968503937"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scw.pjn.gov.ar/scw/viewer.seam?id=pz1VZG0rEO2mk%2FrX3G73IEGGMPnQ88tD9sIPtgAnhew%3D&amp;tipoDoc=despacho" TargetMode="External"/><Relationship Id="rId10" Type="http://schemas.openxmlformats.org/officeDocument/2006/relationships/hyperlink" Target="https://scw.pjn.gov.ar/scw/viewer.seam?id=kXYYCw%2FPBsk1j1uNfLVAv1puBFoeHe5hX%2BFunicYvOM%3D&amp;tipoDoc=sentencia" TargetMode="External"/><Relationship Id="rId13" Type="http://schemas.openxmlformats.org/officeDocument/2006/relationships/hyperlink" Target="https://sjconsulta.csjn.gov.ar/sjconsulta/documentos/verDocumentoByIdLinksJSP.html?idDocumento=8162951&amp;cache=1759320265309" TargetMode="External"/><Relationship Id="rId12" Type="http://schemas.openxmlformats.org/officeDocument/2006/relationships/hyperlink" Target="https://scw.pjn.gov.ar/scw/viewer.seam?id=r%2Br51FkZRjgBwp0iyddyZTOXYnkvVFRIMyYZkK0jCIk%3D&amp;tipoDoc=despacho"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ervicios.infoleg.gob.ar/infolegInternet/anexos/415000-419999/417981/norma.htm" TargetMode="External"/><Relationship Id="rId14" Type="http://schemas.openxmlformats.org/officeDocument/2006/relationships/hyperlink" Target="https://sjconsulta.csjn.gov.ar/sjconsulta/documentos/verDocumentoByIdLinksJSP.html?idDocumento=8080471" TargetMode="External"/><Relationship Id="rId5" Type="http://schemas.openxmlformats.org/officeDocument/2006/relationships/styles" Target="styles.xml"/><Relationship Id="rId6" Type="http://schemas.openxmlformats.org/officeDocument/2006/relationships/hyperlink" Target="https://www.boletinoficial.gob.ar/detalleAviso/primera/332002/20250926" TargetMode="External"/><Relationship Id="rId7" Type="http://schemas.openxmlformats.org/officeDocument/2006/relationships/hyperlink" Target="https://www.agip.gob.ar/normativa/leyes/2025/ley-n-68422025" TargetMode="External"/><Relationship Id="rId8" Type="http://schemas.openxmlformats.org/officeDocument/2006/relationships/hyperlink" Target="https://www.boletinoficial.gob.ar/detalleAviso/primera/333242/202510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